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956" w:firstLine="707.999999999999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R.U.P</w:t>
      </w:r>
    </w:p>
    <w:p w:rsidR="00000000" w:rsidDel="00000000" w:rsidP="00000000" w:rsidRDefault="00000000" w:rsidRPr="00000000" w14:paraId="00000002">
      <w:pPr>
        <w:ind w:left="4956" w:firstLine="707.999999999999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Agenzia per la Formazione l’Orientamento </w:t>
      </w:r>
    </w:p>
    <w:p w:rsidR="00000000" w:rsidDel="00000000" w:rsidP="00000000" w:rsidRDefault="00000000" w:rsidRPr="00000000" w14:paraId="00000003">
      <w:pPr>
        <w:ind w:left="566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il Lavoro della Provincia di Como</w:t>
        <w:br w:type="textWrapping"/>
        <w:t xml:space="preserve">Via Bellinzona n. 88</w:t>
        <w:br w:type="textWrapping"/>
        <w:t xml:space="preserve">22100 Como</w:t>
      </w:r>
    </w:p>
    <w:p w:rsidR="00000000" w:rsidDel="00000000" w:rsidP="00000000" w:rsidRDefault="00000000" w:rsidRPr="00000000" w14:paraId="00000004">
      <w:pPr>
        <w:ind w:left="566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ind w:left="566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Dichiarazione sostitutiva cumulativa</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46 del D.P.R. 28 dicembre 2000 n. 445)</w:t>
      </w:r>
    </w:p>
    <w:p w:rsidR="00000000" w:rsidDel="00000000" w:rsidP="00000000" w:rsidRDefault="00000000" w:rsidRPr="00000000" w14:paraId="00000008">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tabs>
          <w:tab w:val="right" w:leader="none" w:pos="5783"/>
          <w:tab w:val="right" w:leader="none" w:pos="9407"/>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sottoscritto/a_</w:t>
        <w:tab/>
        <w:t xml:space="preserve">_______________________________, nato/a________________________________ il ____________________________, codice fiscale ______________________________________, residente in _______________________, Via ______________________________ n. ______, nella sua qualità di Legale Rappresentante della </w:t>
        <w:tab/>
        <w:t xml:space="preserve">_______________________________, con sede legale in ____________________, CAP _____________, Via ______________________________, partita IVA _______________________, Codice Fiscale _________________________, tel. _________ Fax ______________, e-mail __________________________________, PEC ___________________, </w:t>
      </w:r>
    </w:p>
    <w:p w:rsidR="00000000" w:rsidDel="00000000" w:rsidP="00000000" w:rsidRDefault="00000000" w:rsidRPr="00000000" w14:paraId="0000000A">
      <w:pPr>
        <w:tabs>
          <w:tab w:val="left" w:leader="none" w:pos="-303"/>
          <w:tab w:val="left" w:leader="none" w:pos="709"/>
          <w:tab w:val="left" w:leader="none" w:pos="2769"/>
        </w:tabs>
        <w:spacing w:before="36"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in relazione all’offerta presentata per l’“_______________</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B">
      <w:pPr>
        <w:tabs>
          <w:tab w:val="left" w:leader="none" w:pos="-303"/>
          <w:tab w:val="left" w:leader="none" w:pos="709"/>
          <w:tab w:val="left" w:leader="none" w:pos="2769"/>
        </w:tabs>
        <w:spacing w:before="3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tabs>
          <w:tab w:val="left" w:leader="none" w:pos="-303"/>
          <w:tab w:val="left" w:leader="none" w:pos="709"/>
          <w:tab w:val="left" w:leader="none" w:pos="2769"/>
        </w:tabs>
        <w:spacing w:before="3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visione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dell’invito a</w:t>
      </w:r>
      <w:r w:rsidDel="00000000" w:rsidR="00000000" w:rsidRPr="00000000">
        <w:rPr>
          <w:rFonts w:ascii="Calibri" w:cs="Calibri" w:eastAsia="Calibri" w:hAnsi="Calibri"/>
          <w:sz w:val="22"/>
          <w:szCs w:val="22"/>
          <w:rtl w:val="0"/>
        </w:rPr>
        <w:t xml:space="preserve"> presentare preventivo di spesa, del capitolato speciale d’appalto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di accettarl</w:t>
      </w: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senza riserva o condizione alcuna;</w:t>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avuto modo di valutare tutte le circostanze che hanno portato alla determinazione del prezzo e delle condizioni contrattuali influenti </w:t>
      </w:r>
      <w:r w:rsidDel="00000000" w:rsidR="00000000" w:rsidRPr="00000000">
        <w:rPr>
          <w:rFonts w:ascii="Calibri" w:cs="Calibri" w:eastAsia="Calibri" w:hAnsi="Calibri"/>
          <w:sz w:val="22"/>
          <w:szCs w:val="22"/>
          <w:rtl w:val="0"/>
        </w:rPr>
        <w:t xml:space="preserve">sulla esecuzione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della fornitura in oggetto;</w:t>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ritenere congruo e remunerativo il suddetto prezzo, in quanto determinato tenendo in considerazione tutte le condizioni contrattuali e gli oneri, compresi quelli in materia di sicurezza, assicurazioni, condizioni di lavoro e previdenza ed assistenza in vigore;</w:t>
      </w:r>
    </w:p>
    <w:p w:rsidR="00000000" w:rsidDel="00000000" w:rsidP="00000000" w:rsidRDefault="00000000" w:rsidRPr="00000000" w14:paraId="000000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accettare le condizioni di pagamento stabilite e riportate nel suddetto invito;</w:t>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avere preso conoscenza delle condizioni e dello stato dei luoghi ove deve svolgersi il servizio, rendendosi perfettamente edotta della qualità e della quantità delle prestazioni da eseguire, nonché degli oneri connessi; </w:t>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accettare che il pagamento potrà comunque essere effettuato solo previa verifica della insussistenza di inadempienze di cui all’art. 48/bis del D.P.R. 29/9/1973, n° 602;</w:t>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adottare, durante le fasi di lavoro, tutte le misure di sicurezza e garanzie previste dal D. Lgs. n. 81/2008 e successive modifiche e integrazioni;</w:t>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la ditta/società è in regola con le norme che disciplinano il diritto al lavoro (DURC);</w:t>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visione e di conoscere il contenuto del Codice Etico, del Codice di Comportamento, del Piano Triennale di Prevenzione della Corruzione (Legge 190/12) e del Modello di Organizzazione, Gestione e Controllo predisposto ai sensi del D. Lgs. 231/01 dell’Agenzia per la Formazione l’Orientamento e il Lavoro della Provincia di Como, pubblicati sul sito </w:t>
      </w:r>
      <w:hyperlink r:id="rId8">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www.cfpcomo.com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nella sezione “Amministrazione trasparente”;</w:t>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una situazione di conflitto di interessi nei confronti dell’Agenzia per la Formazione l’Orientamento e il Lavoro della Provincia di Como;</w:t>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voler ricevere ogni comunicazione inerente la presente procedura al seguente indirizzo di posta elettronica certificata: ______________________________;</w:t>
      </w:r>
    </w:p>
    <w:p w:rsidR="00000000" w:rsidDel="00000000" w:rsidP="00000000" w:rsidRDefault="00000000" w:rsidRPr="00000000" w14:paraId="00000018">
      <w:pPr>
        <w:spacing w:before="120"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 INOLTRE</w:t>
      </w:r>
    </w:p>
    <w:p w:rsidR="00000000" w:rsidDel="00000000" w:rsidP="00000000" w:rsidRDefault="00000000" w:rsidRPr="00000000" w14:paraId="00000019">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ai sensi degli artt. 46 e 47 del DPR n. 445/2000,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000000" w:rsidDel="00000000" w:rsidP="00000000" w:rsidRDefault="00000000" w:rsidRPr="00000000" w14:paraId="0000001A">
      <w:pPr>
        <w:widowControl w:val="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sensi dell’art. 94 comma 3 del D. Lgs. 36/2023, i seguenti dati anagrafici e di residenza dei soggetti attualmente in carica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E">
      <w:pPr>
        <w:widowControl w:val="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sempre ai sensi dell’art. 94 comma 3 del D. Lgs. 36/2023, i seguenti dati anagrafici e di residenza dei soggetti cessati dalla carica nell’anno antecedente la data di pubblicazione del bando di gara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non sussistono cause di esclusione dalla partecipazione ad una procedura d’appalto o concessione, elencate nell’art. 94 comma 1 del D. Lgs. 36/2023, ed in particolare che, nei propri confronti e nei confronti dei soggetti sopra indicati, non è stata pronunciata sentenza definitiva di condanna o emesso decreto penale di condanna divenuto irrevocabile per uno dei seguenti reati:</w:t>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106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106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delitti, consumati o tentati, di cui agli articoli 317, 318, 319, 319-ter, 319-quater, 320, 321, 322, 322-bis, 346-bis, 353, 353-bis, 354, 355 e 356 del codice penale, nonché all’articolo 2635 del codice civile;</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106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false comunicazioni sociali di cui agli artt. 2621 e 2622 del codice civile;</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106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frode ai sensi dell’articolo 1 della convenzione relativa alla tutela degli interessi finanziari delle Comunità europee, del 26 luglio 1995;</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106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delitti, consumati o tentati, commessi con finalità di terrorismo, anche internazionale, e di eversione dell’ordine costituzionale reati terroristici o reati connessi alle attività terroristiche;</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106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delitti di cui agli articoli 648-bis, 648-ter e 648-ter.1 del codice penale, riciclaggio di proventi di attività criminose o finanziamento del terrorismo, quali definiti all’articolo 1 del decreto legislativo 22 giugno 2007, n. 109;</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106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sfruttamento del lavoro minorile e altre forme di tratta di esseri umani definite con il decreto legislativo 4 marzo 2014 n. 24;</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106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ogni altro delitto da cui derivi, quale pena accessoria, l’incapacità di contrattare con la pubblica amministrazione;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oppure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sono state riportate le seguenti condanne con sentenza definitiva o con decreto penale di condanna divenuto irrevocabile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indicare anche il/i soggetto/i, specificando ruolo, imputazione, condanna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ai sensi dell’art. 94 comma 2 del D. Lgs. 36/2023, nei propri confronti e nei confronti dei soggetti sopra indicati, non sussistono le cause di decadenza, di sospensione o di divieto previste dall’articolo 67 del codice delle leggi antimafia e delle misure di prevenzione, di cui al Decreto Legislativo 6 settembre 2011 n. 159 o di un tentativo di infiltrazione mafiosa di cui all’articolo 84 comma 4 del medesimo codice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Barrare la casella di interesse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ai sensi dell’art.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426" w:right="0" w:firstLine="281.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280" w:before="280" w:line="240" w:lineRule="auto"/>
        <w:ind w:left="720" w:right="0" w:hanging="10.99999999999994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ha ottemperato ai suoi obblighi, pagando od impegnandosi in modo vincolante a pagare le imposte o i contributi previdenziali dovuti, compresi eventuali interessi o sanzioni, oppure ha comunque integralmente estinto il debito tributario o previdenziale, con estinzione, pagamento od impegno perfezionati anteriormente alla scadenza del termine di presentazione dell’offerta;</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(Barrare la casella di interesse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280" w:before="0" w:line="240" w:lineRule="auto"/>
        <w:ind w:left="714" w:right="0" w:hanging="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ai sensi dell’art.  95 comma 2 del D. Lgs. 36/2023, l’operatore non ha commesso nemmeno violazioni, non definitivamente accertate, agli    obblighi   relativi    al    pagamento   delle    imposte    e    tasse    o   dei   contributi previdenziali</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ovvero</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280" w:before="280" w:line="240" w:lineRule="auto"/>
        <w:ind w:left="720" w:right="0" w:hanging="10.99999999999994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l’operatore economico ha ottemperato ai suoi obblighi, pagando od impegnandosi in modo vincolante a pagare le imposte o i contributi previdenziali dovuti, compresi eventuali interessi o sanzioni, oppure ha comunque integralmente estinto il debito tributario o previdenziale, con estinzione, pagamento od impegno perfezionati anteriormente alla scadenza del termine di presentazione dell’offerta, oppure ha compensato il debito tributario con crediti certificati vantati nei confronti della pubblica amministrazione;</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l’operatore economico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all’art. 95 comma 1 lettera a) del D. Lgs. n. 36/2023;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l’operatore economico non è stato sottoposto a liquidazione giudiziale, non si trova in stato di liquidazione coatta e di concordato preventivo e nei suoi riguardi non è in corso un procedimento per l’accesso a una di tali procedure, fermo restando quanto previsto dall’articolo 95 del codice della crisi di impresa e dell’insolvenza, di cui al decreto Legislativo 12 Gennaio 2019, n. 14, dall’articolo e 186-bis, comma 5, del Regio Decreto 16 marzo 1942, n. 267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dall’articolo 124 del D.Lgs. n. 36/2023;</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l'operatore economico non si è reso colpevole di gravi illeciti professionali di cui all’articolo 98 del D.Lgs. n. 36/2023, tali da rendere dubbia la sua integrità od affidabilità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6"/>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 in particolare che: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ha subito alcuna sanzione esecutiva irrogata dall’Autorità garante della concorrenza e del mercato o da altra autorità di settore, rilevante in relazione all’oggetto specifico dell’appalto;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ha tentato di influenzare indebitamente il processo decisionale della stazione appaltante o di ottenere informazioni riservate a fini di proprio vantaggio o comunque non ha fornito, anche per negligenza, informazioni false o fuorvianti suscettibili di influenzare le decisioni sull'esclusione, la selezione o l'aggiudicazione;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ha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ha commesso grave inadempimento nei confronti di uno o più subappaltatori;</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ha violato il divieto di intestazione fiduciaria di cui all'articolo 17 della legge 19 marzo 1990, n. 55;</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1276"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Barrare la casella di interesse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560"/>
        </w:tabs>
        <w:spacing w:after="280" w:before="0" w:line="240"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è stato vittima dei reati previsti e puniti dagli artt. 317 e 629 c.p., aggravati ai sensi ai sensi dell’articolo 416-bis.1 del medesimo codice;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280" w:before="0" w:line="240"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oppure</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560"/>
        </w:tabs>
        <w:spacing w:after="280" w:before="280" w:line="240"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è stato vittima dei suddetti reati, ma ha denunciato i fatti all’autorità giudiziaria;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280" w:before="280" w:line="240"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oppure</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560"/>
        </w:tabs>
        <w:spacing w:after="280" w:before="280" w:line="240"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è stato vittima dei reati previsti e puniti dagli artt. 317 e 629 c.p., aggravati ai sensi dell’articolo 416-bis.1 del medesimo codice, e non ha denunciato i fatti all’autorità giudiziaria, in quanto ricorrono i casi previsti dall’art. 4 comma 1 della legge 24 novembre 1981 n. 689;</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è stata contestata la commissione da parte dell’operatore economico, ovvero dei soggetti di cui al comma 3 dell’articolo 94 del D. Lgs. n. 36/2023, di alcuno dei reati consumati o tentati di cui al comma 1 del medesimo articolo 94;</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è stata contestata o accertata la commissione, da parte dell’operatore economico oppure dei soggetti di cui al comma 3 dell’articolo 94 del D. Lgs. n. 36/2023, di alcuno dei seguenti reati consumati:</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99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abusivo esercizio di una professione, ai sensi dell’articolo 348 del codice penale;</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99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bancarotta semplice, bancarotta fraudolenta, omessa dichiarazione di beni da comprendere nell’inventario fallimentare o ricorso abusivo al credito, di cui agli articoli 216, 217, 218 e 220 del regio decreto 16 marzo 1942, n. 267;</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99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reati tributari ai sensi del decreto legislativo 10 marzo 2000, n. 74, delitti societari di cui agli articoli 2621 e seguenti del codice civile o delitti contro l’industria e il commercio di cui agli articoli da 513 a 517 del codice penale;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99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99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reati previsti dal decreto legislativo 8 giugno 2001, n. 231;</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280" w:before="28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oppure</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hanging="10.99999999999994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è reso colpevole di un illecito professionale grave di cui all’articolo 98 del D. Lgs. n. 36/2023 ed, in particolare, di quello di cui alla lettera _______ sopra indicata, in quanto: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l’operatore economico non ha presentato nelle procedure di gara in corso e documentazione e dichiarazioni non veritiere;</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la propria partecipazione non determina una situazione di conflitto di interessi, ai sensi dell’art. 16 D. Lgs. n. 36/2023, non diversamente risolvibile;</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la propria partecipazione non determina una distorsione della concorrenza derivante dal proprio precedente coinvolgimento nella preparazione della procedura d’appalto che non possa essere risolta con misure meno intrusive;</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l’operatore economico non è stato soggetto alla sanzione interdittiva di cui all’art. 9 comma 2 lettera c) del D. Lgs. 8 giugno 2001 n. 231, o ad altra sanzione che comporta il divieto di contrarre con la pubblica amministrazione, compresi i provvedimenti interdittivi di cui all’art. 14 del D. Lgs. 9 aprile 2008 n. 81;</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l’operatore economico non è iscritto nel casellario informatico tenuto dall’Osservatorio dell’ANAC per aver presentato false dichiarazioni o falsa documentazione nelle procedure di gara e negli affidamenti di sub-appalti;</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ai sensi dell’art. 17 della Legge 12.03.1999 n. 68:</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Barrare la casella di interesse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34"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l’operatore economico è in regola con le norme che disciplinano il diritto al lavoro dei disabili poiché ha ottemperato alle disposizioni contenute nella Legge n. 68/99 o __________________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indicare la Legge Stato estero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Gli adempimenti sono stati eseguiti presso l’Ufficio _________________________di _________________, Via ________________________n. ___________ fax _____________ e-mail _____________________________;</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oppure</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34"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l’operatore economico non è soggetto agli obblighi di assunzione obbligatoria previsti dalla Legge 68/99 per i seguenti motivi: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indicare i motivi di esenzione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414.0000000000000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oppure</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120" w:before="0" w:line="240" w:lineRule="auto"/>
        <w:ind w:left="1134"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__________________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Stato estero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esiste una normativa sull’assunzione obbligatoria dei disabili;</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Barrare la casella di interesse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280" w:before="0" w:line="240" w:lineRule="auto"/>
        <w:ind w:left="714" w:right="0" w:hanging="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l’operatore economico non si trova in alcuna situazione di controllo di cui all’art. 2359 del codice civile o in una qualsiasi relazione, anche di fatto, con alcun soggetto partecipante alla presente procedura di affidamento, se la situazione di controllo o la relazione comporti che le offerte sono imputabili ad un unico centro decisionale, e di aver formulato autonomamente l'offerta;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ovvero</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280" w:before="280" w:line="240" w:lineRule="auto"/>
        <w:ind w:left="720" w:right="0" w:hanging="10.99999999999994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l’operatore economico non è a conoscenza della partecipazione alla medesima procedura di soggetti che si trovano, rispetto ad essa, in una delle situazioni di controllo di cui all’art. 2359 del codice civile, o in una qualsiasi relazione, anche di fatto, con alcun soggetto, se la situazione di controllo o la relazione comporti che le offerte sono imputabili ad un unico centro decisionale e di aver formulato autonomamente l’offerta;</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ovvero</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280" w:before="280" w:line="240" w:lineRule="auto"/>
        <w:ind w:left="720" w:right="0" w:hanging="10.99999999999994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l’operatore economico è a conoscenza della partecipazione alla medesima procedura di soggetti che si trovano, rispetto ad essa, in una delle situazioni di controllo di cui all’art. 2359 del codice civile o in una qualsiasi relazione, anche di fatto, con alcun soggetto, se la situazione di controllo o la relazione comporti che le offerte sono imputabili ad un unico centro decisionale del codice civile, e di aver formulato autonomamente l'offerta.  </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l’operatore economico ha provveduto all’adeguamento delle proprie procedure di trattamento dei dati personali secondo il GDPR UR 2016/679 attuando le misure adeguate di sicurezza.</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di applicare ali propri dipendenti il CCNL del settore ___________________________________;</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79" w:line="240"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l’operatore economico al fine dell’applicazione dell’art. 53, comma 16-ter, del D. Lgs. n. 165/2001, introdotto dalla legge n. 190/2012 (attività successiva alla cessazione del rapporto di lavoro – pantouflage o revolving doors), dichiara:</w:t>
      </w:r>
    </w:p>
    <w:p w:rsidR="00000000" w:rsidDel="00000000" w:rsidP="00000000" w:rsidRDefault="00000000" w:rsidRPr="00000000" w14:paraId="0000006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993" w:right="227" w:hanging="283.999999999999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non aver concluso contratti di lavoro subordinato o autonomo e, comunque, di non aver attribuito incarichi ad ex dipendenti, che hanno esercitato poteri autoritativi o negoziali per  conto delle pubbliche amministrazioni nei confronti dell’Associazione di cui sopra (AFOL  COMO), nel triennio successivo alla cessazione del rapporto;</w:t>
      </w:r>
    </w:p>
    <w:p w:rsidR="00000000" w:rsidDel="00000000" w:rsidP="00000000" w:rsidRDefault="00000000" w:rsidRPr="00000000" w14:paraId="0000006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36"/>
        </w:tabs>
        <w:spacing w:after="0" w:before="0" w:line="240" w:lineRule="auto"/>
        <w:ind w:left="993" w:right="229" w:hanging="283.999999999999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è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6"/>
        </w:tabs>
        <w:spacing w:after="0" w:before="0" w:line="240" w:lineRule="auto"/>
        <w:ind w:left="0" w:right="22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720" w:right="227"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eseguito nei tre anni antecedenti la data dell’invito servizi analoghi in favore dei seguenti enti pubblici e/o privati (compilare tabella tipo):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72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2410"/>
        <w:gridCol w:w="2410"/>
        <w:tblGridChange w:id="0">
          <w:tblGrid>
            <w:gridCol w:w="3397"/>
            <w:gridCol w:w="2410"/>
            <w:gridCol w:w="2410"/>
          </w:tblGrid>
        </w:tblGridChange>
      </w:tblGrid>
      <w:tr>
        <w:trPr>
          <w:cantSplit w:val="0"/>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Ente Pubblico / struttura privata committente</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Anno</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Servizio svolto</w:t>
            </w:r>
          </w:p>
        </w:tc>
      </w:tr>
      <w:tr>
        <w:trPr>
          <w:cantSplit w:val="0"/>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720" w:right="227"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r>
      <w:r w:rsidDel="00000000" w:rsidR="00000000" w:rsidRPr="00000000">
        <w:rPr>
          <w:rFonts w:ascii="Calibri" w:cs="Calibri" w:eastAsia="Calibri" w:hAnsi="Calibri"/>
          <w:sz w:val="22"/>
          <w:szCs w:val="22"/>
          <w:rtl w:val="0"/>
        </w:rPr>
        <w:t xml:space="preserve">he ha conseguito un fatturato medio globale annuo nell’ultimo triennio (2021-2022-2</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023) in servizi analoghi a quelli oggetto di appalto quantificato in € ____________</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4"/>
        </w:tabs>
        <w:spacing w:after="0" w:before="0" w:line="237" w:lineRule="auto"/>
        <w:ind w:left="0" w:right="22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Dichiara infine di essere informato, ai sensi e per gli effetti di cui al D. Lgs. 196/03 e degli artt. 13 e seguenti del Regolamento UE n. 2016/697, che i dati personali raccolti saranno trattati, anche con strumenti informatici, esclusivamente nell’ambito del procedimento per il quale la presente dichiarazione viene resa ed, in caso di aggiudicazione, per la stipula e la gestione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 contratto, e di prestare altresì, con la sottoscrizione della presente, il proprio consenso al trattamento dei propri dati.</w:t>
      </w:r>
    </w:p>
    <w:p w:rsidR="00000000" w:rsidDel="00000000" w:rsidP="00000000" w:rsidRDefault="00000000" w:rsidRPr="00000000" w14:paraId="00000080">
      <w:pPr>
        <w:spacing w:before="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spacing w:before="120" w:lineRule="auto"/>
        <w:ind w:right="-17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 lì ________________    </w:t>
        <w:tab/>
      </w:r>
    </w:p>
    <w:p w:rsidR="00000000" w:rsidDel="00000000" w:rsidP="00000000" w:rsidRDefault="00000000" w:rsidRPr="00000000" w14:paraId="00000082">
      <w:pPr>
        <w:spacing w:before="120" w:lineRule="auto"/>
        <w:ind w:right="-17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w:t>
        <w:tab/>
        <w:tab/>
        <w:tab/>
        <w:t xml:space="preserve">(</w:t>
      </w:r>
      <w:r w:rsidDel="00000000" w:rsidR="00000000" w:rsidRPr="00000000">
        <w:rPr>
          <w:rFonts w:ascii="Calibri" w:cs="Calibri" w:eastAsia="Calibri" w:hAnsi="Calibri"/>
          <w:i w:val="1"/>
          <w:sz w:val="22"/>
          <w:szCs w:val="22"/>
          <w:rtl w:val="0"/>
        </w:rPr>
        <w:t xml:space="preserve">data</w:t>
      </w:r>
      <w:r w:rsidDel="00000000" w:rsidR="00000000" w:rsidRPr="00000000">
        <w:rPr>
          <w:rFonts w:ascii="Calibri" w:cs="Calibri" w:eastAsia="Calibri" w:hAnsi="Calibri"/>
          <w:sz w:val="22"/>
          <w:szCs w:val="22"/>
          <w:rtl w:val="0"/>
        </w:rPr>
        <w:t xml:space="preserve">)</w:t>
        <w:tab/>
        <w:tab/>
        <w:tab/>
        <w:tab/>
        <w:tab/>
        <w:t xml:space="preserve">       </w:t>
      </w:r>
    </w:p>
    <w:p w:rsidR="00000000" w:rsidDel="00000000" w:rsidP="00000000" w:rsidRDefault="00000000" w:rsidRPr="00000000" w14:paraId="00000083">
      <w:pPr>
        <w:spacing w:before="120" w:lineRule="auto"/>
        <w:ind w:left="5671" w:right="-170"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w:t>
      </w:r>
    </w:p>
    <w:p w:rsidR="00000000" w:rsidDel="00000000" w:rsidP="00000000" w:rsidRDefault="00000000" w:rsidRPr="00000000" w14:paraId="00000084">
      <w:pPr>
        <w:spacing w:before="120" w:lineRule="auto"/>
        <w:ind w:left="5664" w:right="-170" w:firstLine="7.000000000000455"/>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Firma del dichiarante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85">
      <w:pPr>
        <w:spacing w:before="120" w:lineRule="auto"/>
        <w:ind w:right="-17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N.B. </w:t>
      </w:r>
    </w:p>
    <w:p w:rsidR="00000000" w:rsidDel="00000000" w:rsidP="00000000" w:rsidRDefault="00000000" w:rsidRPr="00000000" w14:paraId="00000086">
      <w:pPr>
        <w:spacing w:before="120" w:lineRule="auto"/>
        <w:ind w:right="-170"/>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Alla presente dichiarazione deve essere allegata copia fotostatica di un documento d’identità in corso di validità del soggetto firmatario.</w:t>
      </w:r>
    </w:p>
    <w:p w:rsidR="00000000" w:rsidDel="00000000" w:rsidP="00000000" w:rsidRDefault="00000000" w:rsidRPr="00000000" w14:paraId="00000087">
      <w:pPr>
        <w:spacing w:before="120" w:lineRule="auto"/>
        <w:ind w:right="-170"/>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Qualora la dichiarazione venga sottoscritta da procuratore della società, dovrà altresì essere allegata copia della relativa procura notarile (generale o speciale) o altro documento da cui si evincono i poteri di rappresentanza.</w:t>
      </w:r>
    </w:p>
    <w:sectPr>
      <w:headerReference r:id="rId9" w:type="default"/>
      <w:footerReference r:id="rId10" w:type="default"/>
      <w:footerReference r:id="rId11" w:type="even"/>
      <w:pgSz w:h="16838" w:w="11906" w:orient="portrait"/>
      <w:pgMar w:bottom="851"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Verdana"/>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-533399</wp:posOffset>
              </wp:positionH>
              <wp:positionV relativeFrom="paragraph">
                <wp:posOffset>8953500</wp:posOffset>
              </wp:positionV>
              <wp:extent cx="6448425" cy="175895"/>
              <wp:effectExtent b="0" l="0" r="0" t="0"/>
              <wp:wrapSquare wrapText="bothSides" distB="0" distT="0" distL="0" distR="0"/>
              <wp:docPr id="2" name=""/>
              <a:graphic>
                <a:graphicData uri="http://schemas.microsoft.com/office/word/2010/wordprocessingShape">
                  <wps:wsp>
                    <wps:cNvSpPr/>
                    <wps:cNvPr id="2" name="Shape 2"/>
                    <wps:spPr>
                      <a:xfrm>
                        <a:off x="2126550" y="3696815"/>
                        <a:ext cx="6438900" cy="166370"/>
                      </a:xfrm>
                      <a:prstGeom prst="rect">
                        <a:avLst/>
                      </a:prstGeom>
                      <a:noFill/>
                      <a:ln>
                        <a:noFill/>
                      </a:ln>
                    </wps:spPr>
                    <wps:txbx>
                      <w:txbxContent>
                        <w:p w:rsidR="00000000" w:rsidDel="00000000" w:rsidP="00000000" w:rsidRDefault="00000000" w:rsidRPr="00000000">
                          <w:pPr>
                            <w:spacing w:after="0" w:before="0" w:line="240"/>
                            <w:ind w:left="7415.999755859375" w:right="0" w:firstLine="7415.999755859375"/>
                            <w:jc w:val="left"/>
                            <w:textDirection w:val="btLr"/>
                          </w:pPr>
                          <w:r w:rsidDel="00000000" w:rsidR="00000000" w:rsidRPr="00000000">
                            <w:rPr>
                              <w:rFonts w:ascii="Garamond" w:cs="Garamond" w:eastAsia="Garamond" w:hAnsi="Garamond"/>
                              <w:b w:val="0"/>
                              <w:i w:val="0"/>
                              <w:smallCaps w:val="0"/>
                              <w:strike w:val="0"/>
                              <w:color w:val="000000"/>
                              <w:sz w:val="20"/>
                              <w:vertAlign w:val="baseline"/>
                            </w:rPr>
                            <w:t xml:space="preserve">Timbro e firma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-533399</wp:posOffset>
              </wp:positionH>
              <wp:positionV relativeFrom="paragraph">
                <wp:posOffset>8953500</wp:posOffset>
              </wp:positionV>
              <wp:extent cx="6448425" cy="17589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448425" cy="17589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widowControl w:val="1"/>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8">
      <w:pPr>
        <w:widowControl w:val="1"/>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tab/>
        <w:t xml:space="preserve">Indicare i dati del titolare e direttore tecnico, se si tratta di impresa individuale; di tutti i soci amministratori ed i direttori tecnici, per le società in nome collettivo; di tutti i soci accomandatari e i direttori tecnici, per le società in accomandita semplice; di tutti i membri del consiglio di amministrazione cui sia stata conferita la legale rappresentanza, ivi compresi institori e procuratori generali, dei membri degli organi con poteri di direzione o di vigilanza o dei soggetti muniti di poteri di rappresentanza, direzione e controllo, del direttore tecnico, del socio unico se si tratta di altro tipo di società o consorzio, nonchè dell’amministratore di fatto nelle ipotesi di cui alle lettere precedenti.</w:t>
      </w:r>
    </w:p>
  </w:footnote>
  <w:footnote w:id="1">
    <w:p w:rsidR="00000000" w:rsidDel="00000000" w:rsidP="00000000" w:rsidRDefault="00000000" w:rsidRPr="00000000" w14:paraId="00000089">
      <w:pPr>
        <w:widowControl w:val="1"/>
        <w:jc w:val="both"/>
        <w:rPr>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2</w:t>
      </w:r>
      <w:r w:rsidDel="00000000" w:rsidR="00000000" w:rsidRPr="00000000">
        <w:rPr>
          <w:sz w:val="20"/>
          <w:szCs w:val="20"/>
          <w:rtl w:val="0"/>
        </w:rPr>
        <w:t xml:space="preserve"> </w:t>
        <w:tab/>
        <w:t xml:space="preserve">Si tratta sempre dati del titolare e direttore tecnico, se si tratta di impresa individuale; di tutti i soci amministratori ed i direttori tecnici, per le società in nome collettivo; di tutti i soci accomandatari e i direttori tecnici, per le società in accomandita semplice; di tutti i membri del consiglio di amministrazione cui sia stata conferita la legale rappresentanza, ivi compresi institori e procuratori generali, dei membri degli organi con poteri di direzione o di vigilanza o dei soggetti muniti di poteri di rappresentanza, direzione e controllo, del direttore tecnico, del socio, se si tratta di altro tipo di società o consorzio, nonchè dell’amministratore di fatto nelle ipotesi di cui alle lettere precedenti.</w:t>
      </w:r>
    </w:p>
  </w:footnote>
  <w:footnote w:id="2">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Ai sensi dell’art. 94 comma 2 ultima parte del D. Lgs. n. 36/2023, resta fermo quanto previsto dagli articoli 88, comma 4-bis, e 92, commi 2 e 3, del D. Lgs. n. 159/2011, con riferimento rispettivamente alle comunicazioni antimafia e alle informazioni antimafia. La causa di esclusione di cui all’art. 84, comma 4, del codice di cui al decreto legislativo n. 159 del 2011 non opera se, entro la data di aggiudicazione, l’impresa sia stata ammessa al controllo giudiziario ai sensi dell’articolo 34-bis del medesimo codice. In nessun caso l’aggiudicazione può subire dilazioni in ragione della pendenza del procedimento suindicato.</w:t>
      </w:r>
    </w:p>
  </w:footnote>
  <w:footnote w:id="3">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Ai sensi dell’art. 94 comma 6 del D. Lgs. n. 36/2023,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costituiscono gravi violazioni definitivamente accertate quelle indicate nell’Allegato II.10”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4">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Ai sensi dell’art. 95 comma 2 del D. Lgs. n. 36/2023, l’operatore economico può comunque essere escluso dalla partecipazione a una procedura d’appalto nel caso in cui la stazione appaltante ritenga che lo stesso ha commesso gravi violazioni non definitivamente accertate agli obblighi relativi al pagamento delle imposte e tasse o contributi previdenziali. Costituiscono gravi violazioni non definitivamente accertate in materia fiscale quelle indicate nell’Allegato II.10. La gravità va in ogni caso valutata anche tenendo conto del valore dell’appalto.</w:t>
      </w:r>
    </w:p>
  </w:footnote>
  <w:footnote w:id="5">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Tale norma si riferisce all’ipotesi di concordato preventivo, con continuità aziendale.</w:t>
      </w:r>
    </w:p>
  </w:footnote>
  <w:footnote w:id="6">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Ai sensi dell’art. 95, comma 1, lett. e), del D. Lgs. 36/2023.</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996" w:hanging="360"/>
      </w:pPr>
      <w:rPr/>
    </w:lvl>
    <w:lvl w:ilvl="1">
      <w:start w:val="1"/>
      <w:numFmt w:val="lowerLetter"/>
      <w:lvlText w:val="%2."/>
      <w:lvlJc w:val="left"/>
      <w:pPr>
        <w:ind w:left="2716" w:hanging="360"/>
      </w:pPr>
      <w:rPr/>
    </w:lvl>
    <w:lvl w:ilvl="2">
      <w:start w:val="1"/>
      <w:numFmt w:val="lowerRoman"/>
      <w:lvlText w:val="%3."/>
      <w:lvlJc w:val="right"/>
      <w:pPr>
        <w:ind w:left="3436" w:hanging="180"/>
      </w:pPr>
      <w:rPr/>
    </w:lvl>
    <w:lvl w:ilvl="3">
      <w:start w:val="1"/>
      <w:numFmt w:val="decimal"/>
      <w:lvlText w:val="%4."/>
      <w:lvlJc w:val="left"/>
      <w:pPr>
        <w:ind w:left="4156" w:hanging="360"/>
      </w:pPr>
      <w:rPr/>
    </w:lvl>
    <w:lvl w:ilvl="4">
      <w:start w:val="1"/>
      <w:numFmt w:val="lowerLetter"/>
      <w:lvlText w:val="%5."/>
      <w:lvlJc w:val="left"/>
      <w:pPr>
        <w:ind w:left="4876" w:hanging="360"/>
      </w:pPr>
      <w:rPr/>
    </w:lvl>
    <w:lvl w:ilvl="5">
      <w:start w:val="1"/>
      <w:numFmt w:val="lowerRoman"/>
      <w:lvlText w:val="%6."/>
      <w:lvlJc w:val="right"/>
      <w:pPr>
        <w:ind w:left="5596" w:hanging="180"/>
      </w:pPr>
      <w:rPr/>
    </w:lvl>
    <w:lvl w:ilvl="6">
      <w:start w:val="1"/>
      <w:numFmt w:val="decimal"/>
      <w:lvlText w:val="%7."/>
      <w:lvlJc w:val="left"/>
      <w:pPr>
        <w:ind w:left="6316" w:hanging="360"/>
      </w:pPr>
      <w:rPr/>
    </w:lvl>
    <w:lvl w:ilvl="7">
      <w:start w:val="1"/>
      <w:numFmt w:val="lowerLetter"/>
      <w:lvlText w:val="%8."/>
      <w:lvlJc w:val="left"/>
      <w:pPr>
        <w:ind w:left="7036" w:hanging="360"/>
      </w:pPr>
      <w:rPr/>
    </w:lvl>
    <w:lvl w:ilvl="8">
      <w:start w:val="1"/>
      <w:numFmt w:val="lowerRoman"/>
      <w:lvlText w:val="%9."/>
      <w:lvlJc w:val="right"/>
      <w:pPr>
        <w:ind w:left="7756" w:hanging="180"/>
      </w:pPr>
      <w:rPr/>
    </w:lvl>
  </w:abstractNum>
  <w:abstractNum w:abstractNumId="2">
    <w:lvl w:ilvl="0">
      <w:start w:val="1"/>
      <w:numFmt w:val="bullet"/>
      <w:lvlText w:val="❑"/>
      <w:lvlJc w:val="left"/>
      <w:pPr>
        <w:ind w:left="1056" w:hanging="360"/>
      </w:pPr>
      <w:rPr>
        <w:rFonts w:ascii="Noto Sans Symbols" w:cs="Noto Sans Symbols" w:eastAsia="Noto Sans Symbols" w:hAnsi="Noto Sans Symbols"/>
        <w:sz w:val="16"/>
        <w:szCs w:val="16"/>
      </w:rPr>
    </w:lvl>
    <w:lvl w:ilvl="1">
      <w:start w:val="1"/>
      <w:numFmt w:val="bullet"/>
      <w:lvlText w:val="o"/>
      <w:lvlJc w:val="left"/>
      <w:pPr>
        <w:ind w:left="1776" w:hanging="360"/>
      </w:pPr>
      <w:rPr>
        <w:rFonts w:ascii="Courier New" w:cs="Courier New" w:eastAsia="Courier New" w:hAnsi="Courier New"/>
      </w:rPr>
    </w:lvl>
    <w:lvl w:ilvl="2">
      <w:start w:val="1"/>
      <w:numFmt w:val="bullet"/>
      <w:lvlText w:val="▪"/>
      <w:lvlJc w:val="left"/>
      <w:pPr>
        <w:ind w:left="2496" w:hanging="360"/>
      </w:pPr>
      <w:rPr>
        <w:rFonts w:ascii="Noto Sans Symbols" w:cs="Noto Sans Symbols" w:eastAsia="Noto Sans Symbols" w:hAnsi="Noto Sans Symbols"/>
      </w:rPr>
    </w:lvl>
    <w:lvl w:ilvl="3">
      <w:start w:val="1"/>
      <w:numFmt w:val="bullet"/>
      <w:lvlText w:val="●"/>
      <w:lvlJc w:val="left"/>
      <w:pPr>
        <w:ind w:left="3216" w:hanging="360"/>
      </w:pPr>
      <w:rPr>
        <w:rFonts w:ascii="Noto Sans Symbols" w:cs="Noto Sans Symbols" w:eastAsia="Noto Sans Symbols" w:hAnsi="Noto Sans Symbols"/>
      </w:rPr>
    </w:lvl>
    <w:lvl w:ilvl="4">
      <w:start w:val="1"/>
      <w:numFmt w:val="bullet"/>
      <w:lvlText w:val="o"/>
      <w:lvlJc w:val="left"/>
      <w:pPr>
        <w:ind w:left="3936" w:hanging="360"/>
      </w:pPr>
      <w:rPr>
        <w:rFonts w:ascii="Courier New" w:cs="Courier New" w:eastAsia="Courier New" w:hAnsi="Courier New"/>
      </w:rPr>
    </w:lvl>
    <w:lvl w:ilvl="5">
      <w:start w:val="1"/>
      <w:numFmt w:val="bullet"/>
      <w:lvlText w:val="▪"/>
      <w:lvlJc w:val="left"/>
      <w:pPr>
        <w:ind w:left="4656" w:hanging="360"/>
      </w:pPr>
      <w:rPr>
        <w:rFonts w:ascii="Noto Sans Symbols" w:cs="Noto Sans Symbols" w:eastAsia="Noto Sans Symbols" w:hAnsi="Noto Sans Symbols"/>
      </w:rPr>
    </w:lvl>
    <w:lvl w:ilvl="6">
      <w:start w:val="1"/>
      <w:numFmt w:val="bullet"/>
      <w:lvlText w:val="●"/>
      <w:lvlJc w:val="left"/>
      <w:pPr>
        <w:ind w:left="5376" w:hanging="360"/>
      </w:pPr>
      <w:rPr>
        <w:rFonts w:ascii="Noto Sans Symbols" w:cs="Noto Sans Symbols" w:eastAsia="Noto Sans Symbols" w:hAnsi="Noto Sans Symbols"/>
      </w:rPr>
    </w:lvl>
    <w:lvl w:ilvl="7">
      <w:start w:val="1"/>
      <w:numFmt w:val="bullet"/>
      <w:lvlText w:val="o"/>
      <w:lvlJc w:val="left"/>
      <w:pPr>
        <w:ind w:left="6096" w:hanging="360"/>
      </w:pPr>
      <w:rPr>
        <w:rFonts w:ascii="Courier New" w:cs="Courier New" w:eastAsia="Courier New" w:hAnsi="Courier New"/>
      </w:rPr>
    </w:lvl>
    <w:lvl w:ilvl="8">
      <w:start w:val="1"/>
      <w:numFmt w:val="bullet"/>
      <w:lvlText w:val="▪"/>
      <w:lvlJc w:val="left"/>
      <w:pPr>
        <w:ind w:left="6816"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1"/>
        <w:i w:val="0"/>
        <w:strike w:val="0"/>
        <w:color w:val="000000"/>
      </w:rPr>
    </w:lvl>
    <w:lvl w:ilvl="1">
      <w:start w:val="1"/>
      <w:numFmt w:val="decimal"/>
      <w:lvlText w:val="%2."/>
      <w:lvlJc w:val="left"/>
      <w:pPr>
        <w:ind w:left="1440" w:hanging="360"/>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3"/>
      <w:numFmt w:val="bullet"/>
      <w:lvlText w:val="-"/>
      <w:lvlJc w:val="left"/>
      <w:pPr>
        <w:ind w:left="1069" w:hanging="360"/>
      </w:pPr>
      <w:rPr>
        <w:rFonts w:ascii="Calibri" w:cs="Calibri" w:eastAsia="Calibri" w:hAnsi="Calibri"/>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36427"/>
    <w:pPr>
      <w:widowControl w:val="0"/>
      <w:autoSpaceDE w:val="0"/>
      <w:autoSpaceDN w:val="0"/>
    </w:pPr>
    <w:rPr>
      <w:rFonts w:ascii="Times New Roman" w:eastAsia="Times New Roman" w:hAnsi="Times New Roman"/>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estofumetto">
    <w:name w:val="Balloon Text"/>
    <w:basedOn w:val="Normale"/>
    <w:link w:val="TestofumettoCarattere"/>
    <w:uiPriority w:val="99"/>
    <w:semiHidden w:val="1"/>
    <w:rsid w:val="00C36427"/>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C36427"/>
    <w:rPr>
      <w:rFonts w:ascii="Tahoma" w:cs="Tahoma" w:hAnsi="Tahoma"/>
      <w:sz w:val="16"/>
      <w:szCs w:val="16"/>
      <w:lang w:eastAsia="it-IT"/>
    </w:rPr>
  </w:style>
  <w:style w:type="paragraph" w:styleId="Intestazione">
    <w:name w:val="header"/>
    <w:basedOn w:val="Normale"/>
    <w:link w:val="IntestazioneCarattere"/>
    <w:uiPriority w:val="99"/>
    <w:rsid w:val="009F6BF4"/>
    <w:pPr>
      <w:tabs>
        <w:tab w:val="center" w:pos="4819"/>
        <w:tab w:val="right" w:pos="9638"/>
      </w:tabs>
    </w:pPr>
  </w:style>
  <w:style w:type="character" w:styleId="IntestazioneCarattere" w:customStyle="1">
    <w:name w:val="Intestazione Carattere"/>
    <w:basedOn w:val="Carpredefinitoparagrafo"/>
    <w:link w:val="Intestazione"/>
    <w:uiPriority w:val="99"/>
    <w:rsid w:val="009F6BF4"/>
    <w:rPr>
      <w:rFonts w:ascii="Times New Roman" w:cs="Times New Roman" w:hAnsi="Times New Roman"/>
      <w:sz w:val="24"/>
      <w:szCs w:val="24"/>
      <w:lang w:eastAsia="it-IT"/>
    </w:rPr>
  </w:style>
  <w:style w:type="paragraph" w:styleId="Pidipagina">
    <w:name w:val="footer"/>
    <w:basedOn w:val="Normale"/>
    <w:link w:val="PidipaginaCarattere"/>
    <w:uiPriority w:val="99"/>
    <w:rsid w:val="009F6BF4"/>
    <w:pPr>
      <w:tabs>
        <w:tab w:val="center" w:pos="4819"/>
        <w:tab w:val="right" w:pos="9638"/>
      </w:tabs>
    </w:pPr>
  </w:style>
  <w:style w:type="character" w:styleId="PidipaginaCarattere" w:customStyle="1">
    <w:name w:val="Piè di pagina Carattere"/>
    <w:basedOn w:val="Carpredefinitoparagrafo"/>
    <w:link w:val="Pidipagina"/>
    <w:uiPriority w:val="99"/>
    <w:rsid w:val="009F6BF4"/>
    <w:rPr>
      <w:rFonts w:ascii="Times New Roman" w:cs="Times New Roman" w:hAnsi="Times New Roman"/>
      <w:sz w:val="24"/>
      <w:szCs w:val="24"/>
      <w:lang w:eastAsia="it-IT"/>
    </w:rPr>
  </w:style>
  <w:style w:type="paragraph" w:styleId="Paragrafoelenco">
    <w:name w:val="List Paragraph"/>
    <w:basedOn w:val="Normale"/>
    <w:uiPriority w:val="99"/>
    <w:qFormat w:val="1"/>
    <w:rsid w:val="009F6BF4"/>
    <w:pPr>
      <w:ind w:left="720"/>
      <w:contextualSpacing w:val="1"/>
    </w:pPr>
  </w:style>
  <w:style w:type="paragraph" w:styleId="Testonotaapidipagina">
    <w:name w:val="footnote text"/>
    <w:basedOn w:val="Normale"/>
    <w:link w:val="TestonotaapidipaginaCarattere"/>
    <w:rsid w:val="00FA7E9F"/>
    <w:pPr>
      <w:widowControl w:val="1"/>
      <w:autoSpaceDE w:val="1"/>
      <w:autoSpaceDN w:val="1"/>
    </w:pPr>
    <w:rPr>
      <w:rFonts w:eastAsia="MS Mincho"/>
      <w:sz w:val="20"/>
      <w:szCs w:val="20"/>
    </w:rPr>
  </w:style>
  <w:style w:type="character" w:styleId="TestonotaapidipaginaCarattere" w:customStyle="1">
    <w:name w:val="Testo nota a piè di pagina Carattere"/>
    <w:basedOn w:val="Carpredefinitoparagrafo"/>
    <w:link w:val="Testonotaapidipagina"/>
    <w:rsid w:val="00FA7E9F"/>
    <w:rPr>
      <w:rFonts w:ascii="Times New Roman" w:eastAsia="MS Mincho" w:hAnsi="Times New Roman"/>
      <w:sz w:val="20"/>
      <w:szCs w:val="20"/>
    </w:rPr>
  </w:style>
  <w:style w:type="character" w:styleId="Collegamentoipertestuale">
    <w:name w:val="Hyperlink"/>
    <w:basedOn w:val="Carpredefinitoparagrafo"/>
    <w:uiPriority w:val="99"/>
    <w:unhideWhenUsed w:val="1"/>
    <w:rsid w:val="006F0F06"/>
    <w:rPr>
      <w:color w:val="0000ff" w:themeColor="hyperlink"/>
      <w:u w:val="single"/>
    </w:rPr>
  </w:style>
  <w:style w:type="paragraph" w:styleId="Corpodeltesto2">
    <w:name w:val="Body Text 2"/>
    <w:basedOn w:val="Normale"/>
    <w:link w:val="Corpodeltesto2Carattere"/>
    <w:rsid w:val="004E65BE"/>
    <w:pPr>
      <w:widowControl w:val="1"/>
      <w:autoSpaceDE w:val="1"/>
      <w:autoSpaceDN w:val="1"/>
      <w:jc w:val="both"/>
    </w:pPr>
    <w:rPr>
      <w:rFonts w:ascii="Garamond" w:hAnsi="Garamond"/>
      <w:sz w:val="22"/>
      <w:szCs w:val="20"/>
    </w:rPr>
  </w:style>
  <w:style w:type="character" w:styleId="Corpodeltesto2Carattere" w:customStyle="1">
    <w:name w:val="Corpo del testo 2 Carattere"/>
    <w:basedOn w:val="Carpredefinitoparagrafo"/>
    <w:link w:val="Corpodeltesto2"/>
    <w:rsid w:val="004E65BE"/>
    <w:rPr>
      <w:rFonts w:ascii="Garamond" w:eastAsia="Times New Roman" w:hAnsi="Garamond"/>
      <w:szCs w:val="20"/>
    </w:rPr>
  </w:style>
  <w:style w:type="character" w:styleId="Rimandonotaapidipagina">
    <w:name w:val="footnote reference"/>
    <w:basedOn w:val="Carpredefinitoparagrafo"/>
    <w:rsid w:val="004E65BE"/>
    <w:rPr>
      <w:vertAlign w:val="superscript"/>
    </w:rPr>
  </w:style>
  <w:style w:type="paragraph" w:styleId="NormaleWeb">
    <w:name w:val="Normal (Web)"/>
    <w:basedOn w:val="Normale"/>
    <w:uiPriority w:val="99"/>
    <w:unhideWhenUsed w:val="1"/>
    <w:rsid w:val="004E65BE"/>
    <w:pPr>
      <w:widowControl w:val="1"/>
      <w:autoSpaceDE w:val="1"/>
      <w:autoSpaceDN w:val="1"/>
      <w:spacing w:after="100" w:afterAutospacing="1" w:before="100" w:beforeAutospacing="1"/>
    </w:pPr>
  </w:style>
  <w:style w:type="character" w:styleId="Rimandocommento">
    <w:name w:val="annotation reference"/>
    <w:basedOn w:val="Carpredefinitoparagrafo"/>
    <w:uiPriority w:val="99"/>
    <w:semiHidden w:val="1"/>
    <w:unhideWhenUsed w:val="1"/>
    <w:rsid w:val="004B4F83"/>
    <w:rPr>
      <w:sz w:val="16"/>
      <w:szCs w:val="16"/>
    </w:rPr>
  </w:style>
  <w:style w:type="paragraph" w:styleId="Testocommento">
    <w:name w:val="annotation text"/>
    <w:basedOn w:val="Normale"/>
    <w:link w:val="TestocommentoCarattere"/>
    <w:uiPriority w:val="99"/>
    <w:semiHidden w:val="1"/>
    <w:unhideWhenUsed w:val="1"/>
    <w:rsid w:val="004B4F83"/>
    <w:rPr>
      <w:sz w:val="20"/>
      <w:szCs w:val="20"/>
    </w:rPr>
  </w:style>
  <w:style w:type="character" w:styleId="TestocommentoCarattere" w:customStyle="1">
    <w:name w:val="Testo commento Carattere"/>
    <w:basedOn w:val="Carpredefinitoparagrafo"/>
    <w:link w:val="Testocommento"/>
    <w:uiPriority w:val="99"/>
    <w:semiHidden w:val="1"/>
    <w:rsid w:val="004B4F83"/>
    <w:rPr>
      <w:rFonts w:ascii="Times New Roman" w:eastAsia="Times New Roman" w:hAnsi="Times New Roman"/>
      <w:sz w:val="20"/>
      <w:szCs w:val="20"/>
    </w:rPr>
  </w:style>
  <w:style w:type="paragraph" w:styleId="Soggettocommento">
    <w:name w:val="annotation subject"/>
    <w:basedOn w:val="Testocommento"/>
    <w:next w:val="Testocommento"/>
    <w:link w:val="SoggettocommentoCarattere"/>
    <w:uiPriority w:val="99"/>
    <w:semiHidden w:val="1"/>
    <w:unhideWhenUsed w:val="1"/>
    <w:rsid w:val="004B4F83"/>
    <w:rPr>
      <w:b w:val="1"/>
      <w:bCs w:val="1"/>
    </w:rPr>
  </w:style>
  <w:style w:type="character" w:styleId="SoggettocommentoCarattere" w:customStyle="1">
    <w:name w:val="Soggetto commento Carattere"/>
    <w:basedOn w:val="TestocommentoCarattere"/>
    <w:link w:val="Soggettocommento"/>
    <w:uiPriority w:val="99"/>
    <w:semiHidden w:val="1"/>
    <w:rsid w:val="004B4F83"/>
    <w:rPr>
      <w:rFonts w:ascii="Times New Roman" w:eastAsia="Times New Roman" w:hAnsi="Times New Roman"/>
      <w:b w:val="1"/>
      <w:bCs w:val="1"/>
      <w:sz w:val="20"/>
      <w:szCs w:val="20"/>
    </w:rPr>
  </w:style>
  <w:style w:type="paragraph" w:styleId="ox-036f0ad44e-ox-4338103d3d-msonormal" w:customStyle="1">
    <w:name w:val="ox-036f0ad44e-ox-4338103d3d-msonormal"/>
    <w:basedOn w:val="Normale"/>
    <w:rsid w:val="00844C88"/>
    <w:pPr>
      <w:widowControl w:val="1"/>
      <w:autoSpaceDE w:val="1"/>
      <w:autoSpaceDN w:val="1"/>
      <w:spacing w:after="100" w:afterAutospacing="1" w:before="100" w:beforeAutospacing="1"/>
    </w:pPr>
    <w:rPr>
      <w:rFonts w:eastAsiaTheme="minorHAnsi"/>
    </w:rPr>
  </w:style>
  <w:style w:type="character" w:styleId="Enfasicorsivo">
    <w:name w:val="Emphasis"/>
    <w:basedOn w:val="Carpredefinitoparagrafo"/>
    <w:uiPriority w:val="20"/>
    <w:qFormat w:val="1"/>
    <w:rsid w:val="00844C88"/>
    <w:rPr>
      <w:i w:val="1"/>
      <w:iCs w:val="1"/>
    </w:rPr>
  </w:style>
  <w:style w:type="paragraph" w:styleId="Corpotesto">
    <w:name w:val="Body Text"/>
    <w:basedOn w:val="Normale"/>
    <w:link w:val="CorpotestoCarattere"/>
    <w:uiPriority w:val="99"/>
    <w:unhideWhenUsed w:val="1"/>
    <w:rsid w:val="00BF7BA7"/>
    <w:pPr>
      <w:spacing w:after="120"/>
    </w:pPr>
  </w:style>
  <w:style w:type="character" w:styleId="CorpotestoCarattere" w:customStyle="1">
    <w:name w:val="Corpo testo Carattere"/>
    <w:basedOn w:val="Carpredefinitoparagrafo"/>
    <w:link w:val="Corpotesto"/>
    <w:uiPriority w:val="99"/>
    <w:rsid w:val="00BF7BA7"/>
    <w:rPr>
      <w:rFonts w:ascii="Times New Roman" w:eastAsia="Times New Roman" w:hAnsi="Times New Roman"/>
      <w:sz w:val="24"/>
      <w:szCs w:val="24"/>
    </w:rPr>
  </w:style>
  <w:style w:type="paragraph" w:styleId="Revisione">
    <w:name w:val="Revision"/>
    <w:hidden w:val="1"/>
    <w:uiPriority w:val="99"/>
    <w:semiHidden w:val="1"/>
    <w:rsid w:val="007673DB"/>
    <w:rPr>
      <w:rFonts w:ascii="Times New Roman" w:eastAsia="Times New Roman" w:hAnsi="Times New Roman"/>
      <w:sz w:val="24"/>
      <w:szCs w:val="24"/>
    </w:rPr>
  </w:style>
  <w:style w:type="table" w:styleId="Grigliatabella">
    <w:name w:val="Table Grid"/>
    <w:basedOn w:val="Tabellanormale"/>
    <w:uiPriority w:val="59"/>
    <w:rsid w:val="006D438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cfpcom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0dbyau081tuoSy9dsy/6khGqBQ==">CgMxLjAyCGguZ2pkZ3hzMgloLjMwajB6bGwyCWguMWZvYjl0ZTIJaC4zem55c2g3OAByITFQRGV5UXZMN292a1ZReG41cjAxck0yREsxdzZwYTQtbg==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2024-08-26T09:27:00Z</dcterms:created>
  <dc:creator>Denise Mazza</dc:creator>
</cp:coreProperties>
</file>